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0D70" w14:textId="74AB0275" w:rsidR="00A16A77" w:rsidRPr="00B27FD0" w:rsidRDefault="002E3129" w:rsidP="002E3129">
      <w:pPr>
        <w:jc w:val="center"/>
        <w:rPr>
          <w:rFonts w:ascii="Arial" w:hAnsi="Arial" w:cs="Arial"/>
          <w:b/>
          <w:bCs/>
        </w:rPr>
      </w:pPr>
      <w:r w:rsidRPr="00B27FD0">
        <w:rPr>
          <w:rFonts w:ascii="Arial" w:hAnsi="Arial" w:cs="Arial"/>
          <w:b/>
          <w:bCs/>
        </w:rPr>
        <w:t>WYKAZ UZGODNIEŃ I OPINII</w:t>
      </w:r>
      <w:r w:rsidRPr="00B27FD0">
        <w:rPr>
          <w:rFonts w:ascii="Arial" w:hAnsi="Arial" w:cs="Arial"/>
          <w:b/>
          <w:bCs/>
        </w:rPr>
        <w:br/>
      </w:r>
    </w:p>
    <w:p w14:paraId="7CAAEF60" w14:textId="40F9A1EC" w:rsidR="002E3129" w:rsidRPr="00B27FD0" w:rsidRDefault="002E3129" w:rsidP="002E3129">
      <w:pPr>
        <w:spacing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27FD0">
        <w:rPr>
          <w:rFonts w:ascii="Arial" w:eastAsia="Calibri" w:hAnsi="Arial" w:cs="Arial"/>
          <w:kern w:val="0"/>
          <w14:ligatures w14:val="none"/>
        </w:rPr>
        <w:t>do projektu uchwały w sprawie ustalenia zasad i warunków sytuowania obiektów małej architektury, tablic reklamowych i urządzeń reklamowych oraz ogrodzeń, ich gabarytów, standardów jakościowych oraz rodzajów materiałów budowlanych, z jakich mogą być wykonane na terenie Miasta Oświęcim.</w:t>
      </w:r>
    </w:p>
    <w:p w14:paraId="1DD1295F" w14:textId="77777777" w:rsidR="002E3129" w:rsidRPr="00B27FD0" w:rsidRDefault="002E3129" w:rsidP="002E3129">
      <w:pPr>
        <w:jc w:val="center"/>
        <w:rPr>
          <w:rFonts w:ascii="Arial" w:eastAsia="Calibri" w:hAnsi="Arial" w:cs="Arial"/>
          <w:kern w:val="0"/>
          <w14:ligatures w14:val="none"/>
        </w:rPr>
      </w:pPr>
    </w:p>
    <w:p w14:paraId="1DDF57E3" w14:textId="0F36A8A8" w:rsidR="002E3129" w:rsidRPr="00B27FD0" w:rsidRDefault="002E3129" w:rsidP="00CB0BCB">
      <w:pPr>
        <w:spacing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27FD0">
        <w:rPr>
          <w:rFonts w:ascii="Arial" w:eastAsia="Calibri" w:hAnsi="Arial" w:cs="Arial"/>
          <w:kern w:val="0"/>
          <w14:ligatures w14:val="none"/>
        </w:rPr>
        <w:t xml:space="preserve">Projekt uchwały krajobrazowej sporządzony </w:t>
      </w:r>
      <w:bookmarkStart w:id="0" w:name="_Hlk73692191"/>
      <w:r w:rsidRPr="00B27FD0">
        <w:rPr>
          <w:rFonts w:ascii="Arial" w:eastAsia="Calibri" w:hAnsi="Arial" w:cs="Arial"/>
          <w:kern w:val="0"/>
          <w14:ligatures w14:val="none"/>
        </w:rPr>
        <w:t xml:space="preserve">na podstawie art. 18 ust. 2 pkt 15 i art. 40 ust. 1 ustawy z dnia 8 marca 1990 r. o samorządzie gminnym (tekst jednolity Dz. U. z 2024 r. poz. 1465 z późn zm.), art. 37a oraz art. 37b ust.6 ustawy z dnia 27 marca 2003 r. o planowaniu i zagospodarowaniu przestrzennym (tekst jednolity Dz. U. z 2024 r. poz. 1130 z późn. zm.), </w:t>
      </w:r>
      <w:bookmarkEnd w:id="0"/>
      <w:r w:rsidRPr="00B27FD0">
        <w:rPr>
          <w:rFonts w:ascii="Arial" w:eastAsia="Calibri" w:hAnsi="Arial" w:cs="Arial"/>
          <w:kern w:val="0"/>
          <w14:ligatures w14:val="none"/>
        </w:rPr>
        <w:t>w związku z uchwałą Nr II/8/24 Rady Miasta Oświęcim z dnia 29 maja 2024 r. w sprawie przystąpienia do sporządzenia projektu uchwały w sprawie ustalenia „Zasad i warunków sytuowania obiektów małej architektury, tablic reklamowych i urządzeń reklamowych oraz ogrodzeń”,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1638"/>
        <w:gridCol w:w="1128"/>
        <w:gridCol w:w="1116"/>
        <w:gridCol w:w="1128"/>
        <w:gridCol w:w="3485"/>
      </w:tblGrid>
      <w:tr w:rsidR="002E3129" w:rsidRPr="00B27FD0" w14:paraId="04A43995" w14:textId="77777777" w:rsidTr="00B35C8A">
        <w:tc>
          <w:tcPr>
            <w:tcW w:w="521" w:type="dxa"/>
          </w:tcPr>
          <w:p w14:paraId="63A39B87" w14:textId="1D2F0B6D" w:rsidR="002E3129" w:rsidRPr="00B27FD0" w:rsidRDefault="002E3129" w:rsidP="002E3129">
            <w:pPr>
              <w:keepLines/>
              <w:suppressAutoHyphens/>
              <w:spacing w:after="120" w:line="276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638" w:type="dxa"/>
          </w:tcPr>
          <w:p w14:paraId="16926469" w14:textId="0B5E9B48" w:rsidR="002E3129" w:rsidRPr="00B27FD0" w:rsidRDefault="002E3129" w:rsidP="002E3129">
            <w:pPr>
              <w:keepLines/>
              <w:suppressAutoHyphens/>
              <w:spacing w:after="120" w:line="276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Nazwa i adres instytucji lub organu właściwego do uzgadniania</w:t>
            </w:r>
          </w:p>
        </w:tc>
        <w:tc>
          <w:tcPr>
            <w:tcW w:w="1128" w:type="dxa"/>
          </w:tcPr>
          <w:p w14:paraId="0922C5DF" w14:textId="6EE5A7C5" w:rsidR="002E3129" w:rsidRPr="00B27FD0" w:rsidRDefault="002E3129" w:rsidP="002E3129">
            <w:pPr>
              <w:keepLines/>
              <w:suppressAutoHyphens/>
              <w:spacing w:after="120" w:line="276" w:lineRule="auto"/>
              <w:jc w:val="both"/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  <w:t>Data doręczenia projektu</w:t>
            </w:r>
          </w:p>
        </w:tc>
        <w:tc>
          <w:tcPr>
            <w:tcW w:w="1116" w:type="dxa"/>
          </w:tcPr>
          <w:p w14:paraId="160DB88F" w14:textId="707F48FD" w:rsidR="002E3129" w:rsidRPr="00B27FD0" w:rsidRDefault="002E3129" w:rsidP="002E3129">
            <w:pPr>
              <w:keepLines/>
              <w:suppressAutoHyphens/>
              <w:spacing w:after="120" w:line="276" w:lineRule="auto"/>
              <w:jc w:val="both"/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  <w:t>Data odmowy uzgodnienia/ opinii negatywnej</w:t>
            </w:r>
          </w:p>
        </w:tc>
        <w:tc>
          <w:tcPr>
            <w:tcW w:w="1128" w:type="dxa"/>
          </w:tcPr>
          <w:p w14:paraId="276DF06F" w14:textId="3DD74962" w:rsidR="002E3129" w:rsidRPr="00B27FD0" w:rsidRDefault="002E3129" w:rsidP="002E3129">
            <w:pPr>
              <w:keepLines/>
              <w:suppressAutoHyphens/>
              <w:spacing w:after="120" w:line="276" w:lineRule="auto"/>
              <w:jc w:val="both"/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  <w:t>Data uzgodnienia/ opinii</w:t>
            </w:r>
            <w:r w:rsidR="00B35C8A" w:rsidRPr="00B27FD0"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  <w:t>/ milcząca zgoda</w:t>
            </w:r>
          </w:p>
        </w:tc>
        <w:tc>
          <w:tcPr>
            <w:tcW w:w="3485" w:type="dxa"/>
          </w:tcPr>
          <w:p w14:paraId="3FADABCA" w14:textId="5BE50FB9" w:rsidR="002E3129" w:rsidRPr="00B27FD0" w:rsidRDefault="002E3129" w:rsidP="002E3129">
            <w:pPr>
              <w:keepLines/>
              <w:suppressAutoHyphens/>
              <w:spacing w:after="120" w:line="276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Uwagi</w:t>
            </w:r>
            <w:r w:rsidR="00B273E5"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/ rozpatrzenie</w:t>
            </w:r>
          </w:p>
        </w:tc>
      </w:tr>
      <w:tr w:rsidR="002E3129" w:rsidRPr="00B27FD0" w14:paraId="7A50FDD9" w14:textId="77777777" w:rsidTr="00B35C8A">
        <w:tc>
          <w:tcPr>
            <w:tcW w:w="521" w:type="dxa"/>
          </w:tcPr>
          <w:p w14:paraId="2B41AA66" w14:textId="77777777" w:rsidR="002E3129" w:rsidRPr="00B27FD0" w:rsidRDefault="002E3129" w:rsidP="002E3129">
            <w:pPr>
              <w:pStyle w:val="Akapitzlist"/>
              <w:keepLines/>
              <w:numPr>
                <w:ilvl w:val="0"/>
                <w:numId w:val="1"/>
              </w:numPr>
              <w:suppressAutoHyphens/>
              <w:spacing w:after="120" w:line="360" w:lineRule="auto"/>
              <w:ind w:left="316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8" w:type="dxa"/>
          </w:tcPr>
          <w:p w14:paraId="5385D2D3" w14:textId="77777777" w:rsidR="002E3129" w:rsidRPr="00B27FD0" w:rsidRDefault="002E3129" w:rsidP="002E3129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Małopolski Wojewódzki Konserwator Zabytków</w:t>
            </w:r>
          </w:p>
          <w:p w14:paraId="1132D769" w14:textId="4FF5D107" w:rsidR="002E3129" w:rsidRPr="00B27FD0" w:rsidRDefault="002E3129" w:rsidP="002E3129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Wojewódzki Urząd Ochrony Zabytków w Krakowie</w:t>
            </w:r>
          </w:p>
        </w:tc>
        <w:tc>
          <w:tcPr>
            <w:tcW w:w="1128" w:type="dxa"/>
          </w:tcPr>
          <w:p w14:paraId="667E8E24" w14:textId="1A040E0B" w:rsidR="002E3129" w:rsidRPr="00B27FD0" w:rsidRDefault="00B35C8A" w:rsidP="002E3129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04.11.2025 r.</w:t>
            </w:r>
          </w:p>
        </w:tc>
        <w:tc>
          <w:tcPr>
            <w:tcW w:w="1116" w:type="dxa"/>
          </w:tcPr>
          <w:p w14:paraId="201FE15C" w14:textId="0726FA5D" w:rsidR="002E3129" w:rsidRPr="00B27FD0" w:rsidRDefault="00B35C8A" w:rsidP="002E3129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28" w:type="dxa"/>
          </w:tcPr>
          <w:p w14:paraId="02153794" w14:textId="64D3522A" w:rsidR="002E3129" w:rsidRPr="00B27FD0" w:rsidRDefault="002E3129" w:rsidP="002E3129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28.11.2025 r</w:t>
            </w:r>
            <w:r w:rsidR="00B35C8A"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485" w:type="dxa"/>
          </w:tcPr>
          <w:p w14:paraId="0EE8E3BB" w14:textId="77777777" w:rsidR="002E3129" w:rsidRPr="00B27FD0" w:rsidRDefault="002E3129" w:rsidP="002E3129">
            <w:pPr>
              <w:keepLines/>
              <w:numPr>
                <w:ilvl w:val="0"/>
                <w:numId w:val="2"/>
              </w:numPr>
              <w:suppressAutoHyphens/>
              <w:spacing w:after="120" w:line="360" w:lineRule="auto"/>
              <w:ind w:left="62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Wskazane jest sporządzenie oddzielnych dodatkowych map z powiększeniem obszarów I i 2 w skali umożliwiającej identyfikację przebiegu granic ww. obszarów na tle mapy z ulicami z uwagi na wymóg stosowania szczegółowych regulacji dotyczących dwóch istotnych obszarów miasta z obiektami i obszarami o wartościach zabytkowych. Należy skorygować na załączniku nr 1 granice strefy A w rejonie ul. Zamkowej -ul. Górnickiego oraz strefy B w rejonie ul. Zamkowej — ul. Górnickiego, stosownie do decyzji wpisu do rejestru zabytków A-483/87 z dn. 1 1.02.1987 (B) pod nr CA-958/MJ.</w:t>
            </w:r>
          </w:p>
          <w:p w14:paraId="17752CBE" w14:textId="77777777" w:rsidR="002E3129" w:rsidRPr="00B27FD0" w:rsidRDefault="002E3129" w:rsidP="002E3129">
            <w:pPr>
              <w:keepLines/>
              <w:numPr>
                <w:ilvl w:val="0"/>
                <w:numId w:val="2"/>
              </w:numPr>
              <w:suppressAutoHyphens/>
              <w:spacing w:after="120" w:line="360" w:lineRule="auto"/>
              <w:ind w:left="104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lastRenderedPageBreak/>
              <w:t>Na załączniku Nr I w opisie w kolumnie pn Ochrona dziedzictwa kulturowego należy do tekstu „Były niemiecki nazistowski obóz koncentracyjny i zagłady Auschwitz -Birkenau wpisany na listę światowego dziedzictwa UNESCO” dodać „oraz do rejestru zabytków nieruchomych”. Do opisu „Obszar urbanistyczny Oświęcimia wpisany do rejestru zabytków” winno się dodać „(obejmujących strefę A i strefę B)".</w:t>
            </w:r>
          </w:p>
          <w:p w14:paraId="05422428" w14:textId="77777777" w:rsidR="002E3129" w:rsidRPr="00B27FD0" w:rsidRDefault="002E3129" w:rsidP="002E3129">
            <w:pPr>
              <w:keepLines/>
              <w:numPr>
                <w:ilvl w:val="0"/>
                <w:numId w:val="2"/>
              </w:numPr>
              <w:suppressAutoHyphens/>
              <w:spacing w:after="120" w:line="360" w:lineRule="auto"/>
              <w:ind w:left="104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 odniesieniu do obszaru I i 2 należy ograniczyć gabaryty:</w:t>
            </w:r>
          </w:p>
          <w:p w14:paraId="5571CFAC" w14:textId="51CEFF1E" w:rsidR="002E3129" w:rsidRPr="00B27FD0" w:rsidRDefault="002E3129" w:rsidP="002E3129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0A38DBB8" wp14:editId="4251DA57">
                  <wp:extent cx="76200" cy="15245"/>
                  <wp:effectExtent l="0" t="0" r="0" b="0"/>
                  <wp:docPr id="3385" name="Picture 3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" name="Picture 33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dla szyldów w formie wolnostojącej w ramach sytuowania zbiorczego do maksymalnie 4m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 xml:space="preserve">2 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 4m (</w:t>
            </w:r>
            <w:r w:rsidR="00DD092F"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par.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12 uchwały), 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593213CB" wp14:editId="712E4AEE">
                  <wp:extent cx="73152" cy="15244"/>
                  <wp:effectExtent l="0" t="0" r="0" b="0"/>
                  <wp:docPr id="3386" name="Picture 3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" name="Picture 3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dla szyldów trwale zespolonych z ogrodzeniem do maksymalnie 2m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 xml:space="preserve">2 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(</w:t>
            </w:r>
            <w:r w:rsidR="00DD092F"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par.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13 uchwały), 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17FD73CA" wp14:editId="714FD270">
                  <wp:extent cx="70104" cy="12196"/>
                  <wp:effectExtent l="0" t="0" r="0" b="0"/>
                  <wp:docPr id="3387" name="Picture 3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" name="Picture 33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dla reklam okolicznościowych do maksymalnie 6 m w każdym z parametrów gabarytu (</w:t>
            </w:r>
            <w:r w:rsidR="00DD092F"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par.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29 uchwały).</w:t>
            </w:r>
          </w:p>
          <w:p w14:paraId="37EAF768" w14:textId="77777777" w:rsidR="00B273E5" w:rsidRPr="00B27FD0" w:rsidRDefault="00B273E5" w:rsidP="00B273E5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Rozpatrzenie:</w:t>
            </w:r>
          </w:p>
          <w:p w14:paraId="5CAAA0E4" w14:textId="1F1F6CF0" w:rsidR="002E3129" w:rsidRDefault="00B273E5" w:rsidP="00B273E5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Pozytywne. Uwagi zostały wprowadzone</w:t>
            </w:r>
            <w:r w:rsid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w następujący sposób:</w:t>
            </w:r>
          </w:p>
          <w:p w14:paraId="308DD698" w14:textId="77777777" w:rsidR="00B27FD0" w:rsidRDefault="00B27FD0" w:rsidP="00B27FD0">
            <w:pPr>
              <w:pStyle w:val="Akapitzlist"/>
              <w:keepLines/>
              <w:numPr>
                <w:ilvl w:val="0"/>
                <w:numId w:val="3"/>
              </w:numPr>
              <w:suppressAutoHyphens/>
              <w:spacing w:after="120" w:line="360" w:lineRule="auto"/>
              <w:ind w:left="166" w:hanging="76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Sporządzono rozwinięcie załącznika nr 1 o wskazane przybliżenia dla obszarów 1 i 2 wraz z nazwami ulic;</w:t>
            </w:r>
          </w:p>
          <w:p w14:paraId="4FAEF090" w14:textId="77777777" w:rsidR="00B27FD0" w:rsidRDefault="00B27FD0" w:rsidP="00B27FD0">
            <w:pPr>
              <w:pStyle w:val="Akapitzlist"/>
              <w:keepLines/>
              <w:numPr>
                <w:ilvl w:val="0"/>
                <w:numId w:val="3"/>
              </w:numPr>
              <w:suppressAutoHyphens/>
              <w:spacing w:after="120" w:line="360" w:lineRule="auto"/>
              <w:ind w:left="166" w:hanging="76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lastRenderedPageBreak/>
              <w:t xml:space="preserve"> 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korygowa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no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na załączniku nr 1 granice strefy A w rejonie ul. Zamkowej -ul. Górnickiego oraz strefy B w rejonie ul. Zamkowej — ul. Górnickiego, stosownie do decyzji wpisu do rejestru zabytków A-483/87 z dn. 1 1.02.1987 (B) pod nr CA-958/MJ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, uwzględniając przebieg urealniony o granice działek ewidencyjnych – jeśli to było możliwe;</w:t>
            </w:r>
          </w:p>
          <w:p w14:paraId="68064E82" w14:textId="77777777" w:rsidR="00B27FD0" w:rsidRDefault="00B27FD0" w:rsidP="00B27FD0">
            <w:pPr>
              <w:pStyle w:val="Akapitzlist"/>
              <w:keepLines/>
              <w:numPr>
                <w:ilvl w:val="0"/>
                <w:numId w:val="3"/>
              </w:numPr>
              <w:suppressAutoHyphens/>
              <w:spacing w:after="120" w:line="360" w:lineRule="auto"/>
              <w:ind w:left="166" w:hanging="76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Na załączniku Nr 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1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oraz w tekście uchwały krajobrazowej 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w opisie 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obszaru i w oznaczeniu informacyjnym dodano: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„Były niemiecki nazistowski obóz koncentracyjny i zagłady Auschwitz -Birkenau wpisany na listę światowego dziedzictwa UNESCO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oraz do rejestru zabytków nieruchomych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” </w:t>
            </w:r>
          </w:p>
          <w:p w14:paraId="7A6F9C63" w14:textId="17054EEC" w:rsidR="00B27FD0" w:rsidRPr="00B27FD0" w:rsidRDefault="00B27FD0" w:rsidP="00B27FD0">
            <w:pPr>
              <w:pStyle w:val="Akapitzlist"/>
              <w:keepLines/>
              <w:numPr>
                <w:ilvl w:val="0"/>
                <w:numId w:val="3"/>
              </w:numPr>
              <w:suppressAutoHyphens/>
              <w:spacing w:after="120" w:line="360" w:lineRule="auto"/>
              <w:ind w:left="166" w:hanging="76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Na załączniku Nr 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1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dodano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opisu „Obszar urbanistyczny Oświęcimia wpisany do rejestru zabytków” 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słowa: „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obejmujących strefę A i strefę B".</w:t>
            </w:r>
          </w:p>
          <w:p w14:paraId="26CF859E" w14:textId="6815C473" w:rsidR="00B27FD0" w:rsidRPr="00B27FD0" w:rsidRDefault="00B27FD0" w:rsidP="00B27FD0">
            <w:pPr>
              <w:pStyle w:val="Akapitzlist"/>
              <w:keepLines/>
              <w:numPr>
                <w:ilvl w:val="0"/>
                <w:numId w:val="3"/>
              </w:numPr>
              <w:suppressAutoHyphens/>
              <w:spacing w:after="120" w:line="360" w:lineRule="auto"/>
              <w:ind w:left="166" w:hanging="76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W odniesieniu do obszaru 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1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i 2 ogranicz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ono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gabaryty:</w:t>
            </w:r>
          </w:p>
          <w:p w14:paraId="1E20AB79" w14:textId="77777777" w:rsidR="00B92C56" w:rsidRDefault="00B27FD0" w:rsidP="00B27FD0">
            <w:pPr>
              <w:pStyle w:val="Akapitzlist"/>
              <w:keepLines/>
              <w:numPr>
                <w:ilvl w:val="0"/>
                <w:numId w:val="4"/>
              </w:numPr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dla szyldów w formie wolnostojącej w ramach sytuowania zbiorczego do maksymalnie 4m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i 4m</w:t>
            </w:r>
            <w:r w:rsidR="00B92C56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wysokości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(par. 12 uchwały),</w:t>
            </w:r>
          </w:p>
          <w:p w14:paraId="22C73D6D" w14:textId="77777777" w:rsidR="00B92C56" w:rsidRDefault="00B27FD0" w:rsidP="00B27FD0">
            <w:pPr>
              <w:pStyle w:val="Akapitzlist"/>
              <w:keepLines/>
              <w:numPr>
                <w:ilvl w:val="0"/>
                <w:numId w:val="4"/>
              </w:numPr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dla szyldów trwale zespolonych z ogrodzeniem do maksymalnie 2m</w:t>
            </w:r>
            <w:r w:rsidRPr="00B92C56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(par. 13 uchwały)</w:t>
            </w:r>
          </w:p>
          <w:p w14:paraId="0301E23D" w14:textId="07FA3457" w:rsidR="00B27FD0" w:rsidRPr="00B92C56" w:rsidRDefault="00B27FD0" w:rsidP="00B92C56">
            <w:pPr>
              <w:pStyle w:val="Akapitzlist"/>
              <w:keepLines/>
              <w:numPr>
                <w:ilvl w:val="0"/>
                <w:numId w:val="4"/>
              </w:numPr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lastRenderedPageBreak/>
              <w:t>dla reklam okolicznościowych do maksymalnie 6 m w każdym z parametrów gabarytu (par. 29 uchwały).</w:t>
            </w:r>
          </w:p>
        </w:tc>
      </w:tr>
      <w:tr w:rsidR="002E3129" w:rsidRPr="00B27FD0" w14:paraId="1A0AE3EC" w14:textId="77777777" w:rsidTr="00B35C8A">
        <w:tc>
          <w:tcPr>
            <w:tcW w:w="521" w:type="dxa"/>
          </w:tcPr>
          <w:p w14:paraId="10276DCF" w14:textId="77777777" w:rsidR="002E3129" w:rsidRPr="00B27FD0" w:rsidRDefault="002E3129" w:rsidP="00B27FD0">
            <w:pPr>
              <w:pStyle w:val="Akapitzlist"/>
              <w:keepLines/>
              <w:numPr>
                <w:ilvl w:val="0"/>
                <w:numId w:val="4"/>
              </w:numPr>
              <w:suppressAutoHyphens/>
              <w:spacing w:after="120" w:line="360" w:lineRule="auto"/>
              <w:ind w:left="316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8" w:type="dxa"/>
          </w:tcPr>
          <w:p w14:paraId="409C1CC7" w14:textId="77777777" w:rsidR="002E3129" w:rsidRPr="00B27FD0" w:rsidRDefault="002E3129" w:rsidP="002E3129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Marszałek Województwa Małopolskiego</w:t>
            </w:r>
          </w:p>
          <w:p w14:paraId="53AC5379" w14:textId="4008D7AF" w:rsidR="002E3129" w:rsidRPr="00B27FD0" w:rsidRDefault="002E3129" w:rsidP="002E3129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Urząd Marszałkowski Województwa Małopolskiego</w:t>
            </w:r>
          </w:p>
        </w:tc>
        <w:tc>
          <w:tcPr>
            <w:tcW w:w="1128" w:type="dxa"/>
          </w:tcPr>
          <w:p w14:paraId="150B286B" w14:textId="694D435C" w:rsidR="002E3129" w:rsidRPr="00B27FD0" w:rsidRDefault="00B35C8A" w:rsidP="002E3129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04.11.2025 r.</w:t>
            </w:r>
          </w:p>
        </w:tc>
        <w:tc>
          <w:tcPr>
            <w:tcW w:w="1116" w:type="dxa"/>
          </w:tcPr>
          <w:p w14:paraId="681A5414" w14:textId="6C241B78" w:rsidR="002E3129" w:rsidRPr="00B27FD0" w:rsidRDefault="00B35C8A" w:rsidP="002E3129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28" w:type="dxa"/>
          </w:tcPr>
          <w:p w14:paraId="551880D8" w14:textId="23937CB6" w:rsidR="002E3129" w:rsidRPr="00B27FD0" w:rsidRDefault="00B35C8A" w:rsidP="002E3129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24.11.2025 r.</w:t>
            </w:r>
          </w:p>
        </w:tc>
        <w:tc>
          <w:tcPr>
            <w:tcW w:w="3485" w:type="dxa"/>
          </w:tcPr>
          <w:p w14:paraId="73E2BC82" w14:textId="77777777" w:rsidR="002E3129" w:rsidRPr="00B27FD0" w:rsidRDefault="00B35C8A" w:rsidP="00B35C8A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 satysfakcją zauważam, że zasięgi proponowanych stref (obszary 1-3) tzw. uchwały krajobrazowej są zbieżne z rekomendacjami projektu audytu krajobrazowego dla województwa małopolskiego w odniesieniu do tej problematyki. Jednocześnie informuję, że wskazane w projekcie audytu krajobrazowego rekomendacje ustanowienia tzw. uchwały krajobrazowej nie wyznaczają precyzyjnych zasięgów i zakresu zaleceń, pozostawiając to w Państwa gestii.</w:t>
            </w:r>
          </w:p>
          <w:p w14:paraId="51C1F5DC" w14:textId="77777777" w:rsidR="00B273E5" w:rsidRPr="00B27FD0" w:rsidRDefault="00B273E5" w:rsidP="00B273E5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Rozpatrzenie:</w:t>
            </w:r>
          </w:p>
          <w:p w14:paraId="2813C8CB" w14:textId="2A1BE572" w:rsidR="00B273E5" w:rsidRPr="00B27FD0" w:rsidRDefault="00B273E5" w:rsidP="00B273E5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Pozytywne. Przyjęto pozytywne stanowisko.</w:t>
            </w:r>
          </w:p>
        </w:tc>
      </w:tr>
      <w:tr w:rsidR="00B35C8A" w:rsidRPr="00B27FD0" w14:paraId="5D92E193" w14:textId="77777777" w:rsidTr="00B35C8A">
        <w:tc>
          <w:tcPr>
            <w:tcW w:w="521" w:type="dxa"/>
          </w:tcPr>
          <w:p w14:paraId="2ED695D9" w14:textId="77777777" w:rsidR="00B35C8A" w:rsidRPr="00B27FD0" w:rsidRDefault="00B35C8A" w:rsidP="00B27FD0">
            <w:pPr>
              <w:pStyle w:val="Akapitzlist"/>
              <w:keepLines/>
              <w:numPr>
                <w:ilvl w:val="0"/>
                <w:numId w:val="4"/>
              </w:numPr>
              <w:suppressAutoHyphens/>
              <w:spacing w:after="120" w:line="360" w:lineRule="auto"/>
              <w:ind w:left="316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8" w:type="dxa"/>
          </w:tcPr>
          <w:p w14:paraId="793F79C0" w14:textId="6F25C5B7" w:rsidR="00B35C8A" w:rsidRPr="00B27FD0" w:rsidRDefault="00B35C8A" w:rsidP="00B35C8A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Regionalna Dyrekcja Ochrony Środowiska w Krakowie</w:t>
            </w:r>
          </w:p>
        </w:tc>
        <w:tc>
          <w:tcPr>
            <w:tcW w:w="1128" w:type="dxa"/>
          </w:tcPr>
          <w:p w14:paraId="132EA560" w14:textId="541E0786" w:rsidR="00B35C8A" w:rsidRPr="00B27FD0" w:rsidRDefault="00B35C8A" w:rsidP="00B35C8A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04.11.2025 r.</w:t>
            </w:r>
          </w:p>
        </w:tc>
        <w:tc>
          <w:tcPr>
            <w:tcW w:w="1116" w:type="dxa"/>
          </w:tcPr>
          <w:p w14:paraId="7F8B19A1" w14:textId="7A46A80F" w:rsidR="00B35C8A" w:rsidRPr="00B27FD0" w:rsidRDefault="00B35C8A" w:rsidP="00B35C8A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28" w:type="dxa"/>
          </w:tcPr>
          <w:p w14:paraId="166339D1" w14:textId="6B4D7E5F" w:rsidR="00B35C8A" w:rsidRPr="00B27FD0" w:rsidRDefault="00B35C8A" w:rsidP="00B35C8A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03.11.2025 r.</w:t>
            </w:r>
          </w:p>
        </w:tc>
        <w:tc>
          <w:tcPr>
            <w:tcW w:w="3485" w:type="dxa"/>
          </w:tcPr>
          <w:p w14:paraId="2C239CB9" w14:textId="77777777" w:rsidR="00B35C8A" w:rsidRPr="00B27FD0" w:rsidRDefault="00B35C8A" w:rsidP="00B35C8A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Brak stanowiska – milcząca zgoda</w:t>
            </w:r>
            <w:r w:rsidR="00B273E5"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.</w:t>
            </w:r>
          </w:p>
          <w:p w14:paraId="6D4037B3" w14:textId="77777777" w:rsidR="00B273E5" w:rsidRPr="00B27FD0" w:rsidRDefault="00B273E5" w:rsidP="00B273E5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Rozpatrzenie:</w:t>
            </w:r>
          </w:p>
          <w:p w14:paraId="77ADB202" w14:textId="21B9CA5B" w:rsidR="00B273E5" w:rsidRPr="00B27FD0" w:rsidRDefault="00B273E5" w:rsidP="00B273E5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Pozytywne. Obowiązek został spełniony.</w:t>
            </w:r>
          </w:p>
        </w:tc>
      </w:tr>
      <w:tr w:rsidR="00B35C8A" w:rsidRPr="00B27FD0" w14:paraId="5F342E5B" w14:textId="77777777" w:rsidTr="00B35C8A">
        <w:tc>
          <w:tcPr>
            <w:tcW w:w="521" w:type="dxa"/>
          </w:tcPr>
          <w:p w14:paraId="66E49F23" w14:textId="77777777" w:rsidR="00B35C8A" w:rsidRPr="00B27FD0" w:rsidRDefault="00B35C8A" w:rsidP="00B27FD0">
            <w:pPr>
              <w:pStyle w:val="Akapitzlist"/>
              <w:keepLines/>
              <w:numPr>
                <w:ilvl w:val="0"/>
                <w:numId w:val="4"/>
              </w:numPr>
              <w:suppressAutoHyphens/>
              <w:spacing w:after="120" w:line="360" w:lineRule="auto"/>
              <w:ind w:left="316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8" w:type="dxa"/>
          </w:tcPr>
          <w:p w14:paraId="6BBA00A4" w14:textId="5320258F" w:rsidR="00B35C8A" w:rsidRPr="00B27FD0" w:rsidRDefault="00B35C8A" w:rsidP="00B35C8A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Komenda Powiatowa Państwowej Straży Pożarnej w Oświęcimiu</w:t>
            </w:r>
          </w:p>
        </w:tc>
        <w:tc>
          <w:tcPr>
            <w:tcW w:w="1128" w:type="dxa"/>
          </w:tcPr>
          <w:p w14:paraId="59B7883E" w14:textId="1F137720" w:rsidR="00B35C8A" w:rsidRPr="00B27FD0" w:rsidRDefault="00B35C8A" w:rsidP="00B35C8A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04.11.2025 r.</w:t>
            </w:r>
          </w:p>
        </w:tc>
        <w:tc>
          <w:tcPr>
            <w:tcW w:w="1116" w:type="dxa"/>
          </w:tcPr>
          <w:p w14:paraId="70F28551" w14:textId="03AA38AB" w:rsidR="00B35C8A" w:rsidRPr="00B27FD0" w:rsidRDefault="00B35C8A" w:rsidP="00B35C8A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28" w:type="dxa"/>
          </w:tcPr>
          <w:p w14:paraId="22F1699E" w14:textId="32F502AF" w:rsidR="00B35C8A" w:rsidRPr="00B27FD0" w:rsidRDefault="00B35C8A" w:rsidP="00B35C8A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03.11.2025 r.</w:t>
            </w:r>
          </w:p>
        </w:tc>
        <w:tc>
          <w:tcPr>
            <w:tcW w:w="3485" w:type="dxa"/>
          </w:tcPr>
          <w:p w14:paraId="7CCA16C2" w14:textId="77777777" w:rsidR="00B273E5" w:rsidRPr="00B27FD0" w:rsidRDefault="00B273E5" w:rsidP="00B273E5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Brak stanowiska – milcząca zgoda.</w:t>
            </w:r>
          </w:p>
          <w:p w14:paraId="6FD8043D" w14:textId="77777777" w:rsidR="00B273E5" w:rsidRPr="00B27FD0" w:rsidRDefault="00B273E5" w:rsidP="00B273E5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Rozpatrzenie:</w:t>
            </w:r>
          </w:p>
          <w:p w14:paraId="226D892C" w14:textId="4D278A6D" w:rsidR="00B35C8A" w:rsidRPr="00B27FD0" w:rsidRDefault="00B273E5" w:rsidP="00B273E5">
            <w:pPr>
              <w:keepLines/>
              <w:suppressAutoHyphens/>
              <w:spacing w:after="120" w:line="360" w:lineRule="auto"/>
              <w:jc w:val="both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B27FD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Pozytywne. Obowiązek został spełniony.</w:t>
            </w:r>
          </w:p>
        </w:tc>
      </w:tr>
    </w:tbl>
    <w:p w14:paraId="11A7A8D9" w14:textId="77777777" w:rsidR="002E3129" w:rsidRPr="00B27FD0" w:rsidRDefault="002E3129" w:rsidP="002E3129">
      <w:pPr>
        <w:keepLines/>
        <w:suppressAutoHyphens/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265A7CD" w14:textId="77777777" w:rsidR="002E3129" w:rsidRPr="00B27FD0" w:rsidRDefault="002E3129" w:rsidP="002E3129">
      <w:pPr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8907F76" w14:textId="44AE2E0F" w:rsidR="002E3129" w:rsidRPr="002E3129" w:rsidRDefault="002E3129"/>
    <w:sectPr w:rsidR="002E3129" w:rsidRPr="002E3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5BB7"/>
    <w:multiLevelType w:val="hybridMultilevel"/>
    <w:tmpl w:val="8C0E7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176FA"/>
    <w:multiLevelType w:val="hybridMultilevel"/>
    <w:tmpl w:val="FF8A0B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9381E"/>
    <w:multiLevelType w:val="hybridMultilevel"/>
    <w:tmpl w:val="43AA2DB8"/>
    <w:lvl w:ilvl="0" w:tplc="50FAF2EE">
      <w:start w:val="1"/>
      <w:numFmt w:val="decimal"/>
      <w:lvlText w:val="%1.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2138A">
      <w:start w:val="1"/>
      <w:numFmt w:val="lowerLetter"/>
      <w:lvlText w:val="%2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0C1C1E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25B64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40B640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231B0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E4C25C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F233C0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BA692E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0231E7"/>
    <w:multiLevelType w:val="hybridMultilevel"/>
    <w:tmpl w:val="278208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665911">
    <w:abstractNumId w:val="0"/>
  </w:num>
  <w:num w:numId="2" w16cid:durableId="1454834650">
    <w:abstractNumId w:val="2"/>
  </w:num>
  <w:num w:numId="3" w16cid:durableId="897740634">
    <w:abstractNumId w:val="3"/>
  </w:num>
  <w:num w:numId="4" w16cid:durableId="65202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B"/>
    <w:rsid w:val="002D5265"/>
    <w:rsid w:val="002E3129"/>
    <w:rsid w:val="006E7C7B"/>
    <w:rsid w:val="00886216"/>
    <w:rsid w:val="008D78B3"/>
    <w:rsid w:val="00A16A77"/>
    <w:rsid w:val="00A20EB6"/>
    <w:rsid w:val="00AA0AC5"/>
    <w:rsid w:val="00B273E5"/>
    <w:rsid w:val="00B27FD0"/>
    <w:rsid w:val="00B35C8A"/>
    <w:rsid w:val="00B92C56"/>
    <w:rsid w:val="00CB0BCB"/>
    <w:rsid w:val="00D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B4A1"/>
  <w15:chartTrackingRefBased/>
  <w15:docId w15:val="{8E9D38C5-CD67-4108-BC3D-D822D19D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C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C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C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C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C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C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7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C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7C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C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C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C7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E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Poniatowski</dc:creator>
  <cp:keywords/>
  <dc:description/>
  <cp:lastModifiedBy>Bartosz Poniatowski</cp:lastModifiedBy>
  <cp:revision>3</cp:revision>
  <dcterms:created xsi:type="dcterms:W3CDTF">2026-01-22T08:36:00Z</dcterms:created>
  <dcterms:modified xsi:type="dcterms:W3CDTF">2026-01-23T14:29:00Z</dcterms:modified>
</cp:coreProperties>
</file>